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20AC" w14:textId="12C9FC71" w:rsidR="00521810" w:rsidRPr="00EF07A8" w:rsidRDefault="003B7DF5"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2</w:t>
      </w:r>
      <w:r w:rsidR="00EF07A8">
        <w:rPr>
          <w:rFonts w:ascii="Arial" w:hAnsi="Arial" w:cs="Arial"/>
          <w:sz w:val="12"/>
          <w:szCs w:val="12"/>
          <w:lang w:val="lt-LT"/>
        </w:rPr>
        <w:t>FORMA</w:t>
      </w:r>
      <w:r w:rsidR="00EF07A8"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2C5D83CB"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00C96172" w:rsidRPr="00C96172">
        <w:t xml:space="preserve"> </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1A95D180"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w:t>
      </w:r>
      <w:r w:rsidR="00C96172">
        <w:rPr>
          <w:rFonts w:ascii="Arial" w:eastAsia="Calibri" w:hAnsi="Arial" w:cs="Arial"/>
          <w:b/>
          <w:sz w:val="20"/>
          <w:szCs w:val="20"/>
        </w:rPr>
        <w:t>20</w:t>
      </w:r>
      <w:r w:rsidR="00E36749" w:rsidRPr="00297679">
        <w:rPr>
          <w:rFonts w:ascii="Arial" w:eastAsia="Calibri" w:hAnsi="Arial" w:cs="Arial"/>
          <w:b/>
          <w:sz w:val="20"/>
          <w:szCs w:val="20"/>
        </w:rPr>
        <w:t xml:space="preserve">-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115B4829"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306C95">
        <w:rPr>
          <w:rFonts w:ascii="Arial" w:eastAsia="Times New Roman" w:hAnsi="Arial" w:cs="Arial"/>
          <w:b/>
          <w:noProof/>
          <w:sz w:val="20"/>
          <w:szCs w:val="20"/>
        </w:rPr>
        <w:t>UAB 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306C95">
        <w:rPr>
          <w:rFonts w:ascii="Arial" w:eastAsia="Times New Roman" w:hAnsi="Arial" w:cs="Arial"/>
          <w:noProof/>
          <w:sz w:val="20"/>
          <w:szCs w:val="20"/>
        </w:rPr>
        <w:t xml:space="preserve"> - 123456</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306C95">
        <w:rPr>
          <w:rFonts w:ascii="Arial" w:eastAsia="Times New Roman" w:hAnsi="Arial" w:cs="Arial"/>
          <w:sz w:val="20"/>
          <w:szCs w:val="20"/>
        </w:rPr>
        <w:t xml:space="preserve"> Vardenio </w:t>
      </w:r>
      <w:proofErr w:type="spellStart"/>
      <w:r w:rsidR="00306C95">
        <w:rPr>
          <w:rFonts w:ascii="Arial" w:eastAsia="Times New Roman" w:hAnsi="Arial" w:cs="Arial"/>
          <w:sz w:val="20"/>
          <w:szCs w:val="20"/>
        </w:rPr>
        <w:t>Pavardenio</w:t>
      </w:r>
      <w:proofErr w:type="spellEnd"/>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737F3B5E"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6A1585">
        <w:rPr>
          <w:rFonts w:ascii="Arial" w:hAnsi="Arial" w:cs="Arial"/>
          <w:sz w:val="20"/>
          <w:szCs w:val="20"/>
        </w:rPr>
        <w:t>Rytų Europos variklinių bėgių transporto mašinų atsarginės dalys</w:t>
      </w:r>
      <w:r w:rsidR="00D941DB">
        <w:rPr>
          <w:rFonts w:ascii="Arial" w:eastAsia="Calibri" w:hAnsi="Arial" w:cs="Arial"/>
          <w:sz w:val="20"/>
          <w:szCs w:val="20"/>
        </w:rPr>
        <w:t>i</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8E2884">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„Techninė specifikacija</w:t>
      </w:r>
      <w:r w:rsidR="000C5A3B">
        <w:rPr>
          <w:rFonts w:ascii="Arial" w:hAnsi="Arial" w:cs="Arial"/>
          <w:color w:val="000000" w:themeColor="text1"/>
          <w:sz w:val="20"/>
          <w:szCs w:val="20"/>
        </w:rPr>
        <w:t>“.</w:t>
      </w:r>
      <w:permEnd w:id="1565747706"/>
    </w:p>
    <w:p w14:paraId="52073A46" w14:textId="4D3E6E69"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Prekės pristatomos šiais adresais</w:t>
      </w:r>
      <w:r w:rsidR="00BA6597" w:rsidRPr="009320A3">
        <w:rPr>
          <w:rStyle w:val="Laukeliai"/>
          <w:rFonts w:eastAsia="Times New Roman" w:cs="Arial"/>
          <w:szCs w:val="20"/>
        </w:rPr>
        <w:t xml:space="preserve">: </w:t>
      </w:r>
      <w:r w:rsidR="001965B1">
        <w:rPr>
          <w:rStyle w:val="Laukeliai"/>
          <w:rFonts w:eastAsia="Times New Roman" w:cs="Arial"/>
          <w:szCs w:val="20"/>
        </w:rPr>
        <w:t>Geležinkelio</w:t>
      </w:r>
      <w:r w:rsidR="00BA6597" w:rsidRPr="009320A3">
        <w:rPr>
          <w:rStyle w:val="Laukeliai"/>
          <w:rFonts w:eastAsia="Times New Roman" w:cs="Arial"/>
          <w:szCs w:val="20"/>
        </w:rPr>
        <w:t xml:space="preserve"> g. </w:t>
      </w:r>
      <w:r w:rsidR="001965B1">
        <w:rPr>
          <w:rStyle w:val="Laukeliai"/>
          <w:rFonts w:eastAsia="Times New Roman" w:cs="Arial"/>
          <w:szCs w:val="20"/>
        </w:rPr>
        <w:t>20</w:t>
      </w:r>
      <w:r w:rsidR="00BA6597" w:rsidRPr="009320A3">
        <w:rPr>
          <w:rStyle w:val="Laukeliai"/>
          <w:rFonts w:eastAsia="Times New Roman" w:cs="Arial"/>
          <w:szCs w:val="20"/>
        </w:rPr>
        <w:t xml:space="preserve">, </w:t>
      </w:r>
      <w:r w:rsidR="001965B1">
        <w:rPr>
          <w:rStyle w:val="Laukeliai"/>
          <w:rFonts w:eastAsia="Times New Roman" w:cs="Arial"/>
          <w:szCs w:val="20"/>
        </w:rPr>
        <w:t>Šilėnai, Šiaulių raj.</w:t>
      </w:r>
      <w:r w:rsidR="00D941DB">
        <w:rPr>
          <w:rStyle w:val="Laukeliai"/>
          <w:rFonts w:eastAsia="Times New Roman" w:cs="Arial"/>
          <w:szCs w:val="20"/>
        </w:rPr>
        <w:t xml:space="preserve"> arba Trikampio g. 10, Lentvaris.</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0E41A9BE"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D941DB" w:rsidRPr="00D941DB">
        <w:rPr>
          <w:rFonts w:ascii="Arial" w:eastAsia="Calibri" w:hAnsi="Arial" w:cs="Arial"/>
          <w:sz w:val="20"/>
          <w:szCs w:val="20"/>
        </w:rPr>
        <w:t>f</w:t>
      </w:r>
      <w:r w:rsidR="00D941DB" w:rsidRPr="00D941DB">
        <w:rPr>
          <w:rFonts w:ascii="Arial" w:hAnsi="Arial" w:cs="Arial"/>
          <w:sz w:val="20"/>
          <w:szCs w:val="20"/>
        </w:rPr>
        <w:t>iksuoto įkainio su papildomu įsigijimu</w:t>
      </w:r>
      <w:r w:rsidR="00D941DB" w:rsidRPr="00D941DB">
        <w:rPr>
          <w:rFonts w:ascii="Arial" w:eastAsia="Calibri" w:hAnsi="Arial" w:cs="Arial"/>
          <w:sz w:val="20"/>
          <w:szCs w:val="20"/>
        </w:rPr>
        <w:t xml:space="preserve"> (g</w:t>
      </w:r>
      <w:r w:rsidR="00D941DB" w:rsidRPr="00D941DB">
        <w:rPr>
          <w:rFonts w:ascii="Arial" w:hAnsi="Arial" w:cs="Arial"/>
          <w:sz w:val="20"/>
          <w:szCs w:val="20"/>
        </w:rPr>
        <w:t>ali būti įsigyjamos nenumatytos, tačiau su pirkimo objektu susijusios Prekės ne daugiau kaip dvidešimt procentų nuo Sutarties kainos</w:t>
      </w:r>
      <w:r w:rsidR="00500741">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3D16CE">
        <w:rPr>
          <w:rFonts w:ascii="Arial" w:hAnsi="Arial" w:cs="Arial"/>
          <w:sz w:val="20"/>
          <w:szCs w:val="20"/>
        </w:rPr>
        <w:t xml:space="preserve">Sutartyje nenumatytos prekės gali būti </w:t>
      </w:r>
      <w:r w:rsidR="006A0EE1">
        <w:rPr>
          <w:rFonts w:ascii="Arial" w:hAnsi="Arial" w:cs="Arial"/>
          <w:sz w:val="20"/>
          <w:szCs w:val="20"/>
        </w:rPr>
        <w:t>įsigyjamos nedidesnėmis nei susitarimo pasirašymo dieną Tiekėjo prekybos vietoje, kataloge ar interneto svetainėje nurodytomis galiojančiomis šių prekių kainomis arba, jei tokios kainos neskelbiamos, Tiekėjo pasiūlytomis, konkurencingomis ir rinką atitinkančiomis kainomis.</w:t>
      </w:r>
      <w:r w:rsidR="00C615B6">
        <w:rPr>
          <w:rFonts w:ascii="Arial" w:hAnsi="Arial" w:cs="Arial"/>
          <w:sz w:val="20"/>
          <w:szCs w:val="20"/>
        </w:rPr>
        <w:t xml:space="preserve"> </w:t>
      </w:r>
      <w:r w:rsidR="0085114A">
        <w:rPr>
          <w:rFonts w:ascii="Arial" w:hAnsi="Arial" w:cs="Arial"/>
          <w:sz w:val="20"/>
          <w:szCs w:val="20"/>
        </w:rPr>
        <w:t xml:space="preserve">Pirkėjas </w:t>
      </w:r>
      <w:r w:rsidR="008E3C14">
        <w:rPr>
          <w:rFonts w:ascii="Arial" w:hAnsi="Arial" w:cs="Arial"/>
          <w:sz w:val="20"/>
          <w:szCs w:val="20"/>
        </w:rPr>
        <w:t>siekdamas užtikrinti nenumatyt</w:t>
      </w:r>
      <w:r w:rsidR="006D06A2">
        <w:rPr>
          <w:rFonts w:ascii="Arial" w:hAnsi="Arial" w:cs="Arial"/>
          <w:sz w:val="20"/>
          <w:szCs w:val="20"/>
        </w:rPr>
        <w:t>ų</w:t>
      </w:r>
      <w:r w:rsidR="008E3C14">
        <w:rPr>
          <w:rFonts w:ascii="Arial" w:hAnsi="Arial" w:cs="Arial"/>
          <w:sz w:val="20"/>
          <w:szCs w:val="20"/>
        </w:rPr>
        <w:t xml:space="preserve"> prek</w:t>
      </w:r>
      <w:r w:rsidR="006D06A2">
        <w:rPr>
          <w:rFonts w:ascii="Arial" w:hAnsi="Arial" w:cs="Arial"/>
          <w:sz w:val="20"/>
          <w:szCs w:val="20"/>
        </w:rPr>
        <w:t>ių</w:t>
      </w:r>
      <w:r w:rsidR="008E3C14">
        <w:rPr>
          <w:rFonts w:ascii="Arial" w:hAnsi="Arial" w:cs="Arial"/>
          <w:sz w:val="20"/>
          <w:szCs w:val="20"/>
        </w:rPr>
        <w:t xml:space="preserve"> siūlom</w:t>
      </w:r>
      <w:r w:rsidR="00766BBD">
        <w:rPr>
          <w:rFonts w:ascii="Arial" w:hAnsi="Arial" w:cs="Arial"/>
          <w:sz w:val="20"/>
          <w:szCs w:val="20"/>
        </w:rPr>
        <w:t>ų</w:t>
      </w:r>
      <w:r w:rsidR="008E3C14">
        <w:rPr>
          <w:rFonts w:ascii="Arial" w:hAnsi="Arial" w:cs="Arial"/>
          <w:sz w:val="20"/>
          <w:szCs w:val="20"/>
        </w:rPr>
        <w:t xml:space="preserve"> kain</w:t>
      </w:r>
      <w:r w:rsidR="006D06A2">
        <w:rPr>
          <w:rFonts w:ascii="Arial" w:hAnsi="Arial" w:cs="Arial"/>
          <w:sz w:val="20"/>
          <w:szCs w:val="20"/>
        </w:rPr>
        <w:t>ų</w:t>
      </w:r>
      <w:r w:rsidR="008E3C14">
        <w:rPr>
          <w:rFonts w:ascii="Arial" w:hAnsi="Arial" w:cs="Arial"/>
          <w:sz w:val="20"/>
          <w:szCs w:val="20"/>
        </w:rPr>
        <w:t xml:space="preserve"> </w:t>
      </w:r>
      <w:r w:rsidR="006F245B">
        <w:rPr>
          <w:rFonts w:ascii="Arial" w:hAnsi="Arial" w:cs="Arial"/>
          <w:sz w:val="20"/>
          <w:szCs w:val="20"/>
        </w:rPr>
        <w:t>konk</w:t>
      </w:r>
      <w:r w:rsidR="008E3C14">
        <w:rPr>
          <w:rFonts w:ascii="Arial" w:hAnsi="Arial" w:cs="Arial"/>
          <w:sz w:val="20"/>
          <w:szCs w:val="20"/>
        </w:rPr>
        <w:t>urencing</w:t>
      </w:r>
      <w:r w:rsidR="006F245B">
        <w:rPr>
          <w:rFonts w:ascii="Arial" w:hAnsi="Arial" w:cs="Arial"/>
          <w:sz w:val="20"/>
          <w:szCs w:val="20"/>
        </w:rPr>
        <w:t>umą</w:t>
      </w:r>
      <w:r w:rsidR="00AC3C9E">
        <w:rPr>
          <w:rFonts w:ascii="Arial" w:hAnsi="Arial" w:cs="Arial"/>
          <w:sz w:val="20"/>
          <w:szCs w:val="20"/>
        </w:rPr>
        <w:t xml:space="preserve"> </w:t>
      </w:r>
      <w:r w:rsidR="00F97A92">
        <w:rPr>
          <w:rFonts w:ascii="Arial" w:hAnsi="Arial" w:cs="Arial"/>
          <w:sz w:val="20"/>
          <w:szCs w:val="20"/>
        </w:rPr>
        <w:t xml:space="preserve">atliks rinkos tyrimą ir </w:t>
      </w:r>
      <w:r w:rsidR="001E209C">
        <w:rPr>
          <w:rFonts w:ascii="Arial" w:hAnsi="Arial" w:cs="Arial"/>
          <w:sz w:val="20"/>
          <w:szCs w:val="20"/>
        </w:rPr>
        <w:t>pagal gautus rezultatus spręs apie tokių prekių įsigijimą</w:t>
      </w:r>
      <w:r w:rsidR="00826BF0">
        <w:rPr>
          <w:rFonts w:ascii="Arial" w:hAnsi="Arial" w:cs="Arial"/>
          <w:sz w:val="20"/>
          <w:szCs w:val="20"/>
        </w:rPr>
        <w:t>.</w:t>
      </w:r>
      <w:r w:rsidR="003D16CE" w:rsidRPr="00297679">
        <w:rPr>
          <w:rFonts w:ascii="Arial" w:hAnsi="Arial" w:cs="Arial"/>
          <w:sz w:val="20"/>
          <w:szCs w:val="20"/>
        </w:rPr>
        <w:t xml:space="preserve"> </w:t>
      </w:r>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63DD0545" w:rsidR="00BA6597" w:rsidRPr="00A401FF" w:rsidRDefault="00A540DC"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Pr>
          <w:rFonts w:ascii="Arial" w:eastAsia="Calibri" w:hAnsi="Arial" w:cs="Arial"/>
          <w:sz w:val="20"/>
          <w:szCs w:val="20"/>
          <w:lang w:eastAsia="x-none"/>
        </w:rPr>
        <w:t>5</w:t>
      </w:r>
      <w:r w:rsidR="008E2884">
        <w:rPr>
          <w:rFonts w:ascii="Arial" w:eastAsia="Calibri" w:hAnsi="Arial" w:cs="Arial"/>
          <w:sz w:val="20"/>
          <w:szCs w:val="20"/>
          <w:lang w:eastAsia="x-none"/>
        </w:rPr>
        <w:t>0.000,00 (</w:t>
      </w:r>
      <w:r>
        <w:rPr>
          <w:rFonts w:ascii="Arial" w:eastAsia="Calibri" w:hAnsi="Arial" w:cs="Arial"/>
          <w:sz w:val="20"/>
          <w:szCs w:val="20"/>
          <w:lang w:eastAsia="x-none"/>
        </w:rPr>
        <w:t>penkiasdešimt</w:t>
      </w:r>
      <w:r w:rsidR="008E2884">
        <w:rPr>
          <w:rFonts w:ascii="Arial" w:eastAsia="Calibri" w:hAnsi="Arial" w:cs="Arial"/>
          <w:sz w:val="20"/>
          <w:szCs w:val="20"/>
          <w:lang w:eastAsia="x-none"/>
        </w:rPr>
        <w:t xml:space="preserve"> tūkstančių) </w:t>
      </w:r>
      <w:r w:rsidR="00BA6597" w:rsidRPr="00A401FF">
        <w:rPr>
          <w:rFonts w:ascii="Arial" w:eastAsia="Calibri" w:hAnsi="Arial" w:cs="Arial"/>
          <w:sz w:val="20"/>
          <w:szCs w:val="20"/>
          <w:lang w:eastAsia="x-none"/>
        </w:rPr>
        <w:t>EUR be PVM;</w:t>
      </w:r>
    </w:p>
    <w:p w14:paraId="4935E106" w14:textId="34FB872F" w:rsidR="00BA6597" w:rsidRPr="00A401FF" w:rsidRDefault="00A540DC"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10.500</w:t>
      </w:r>
      <w:r w:rsidR="008E2884">
        <w:rPr>
          <w:rFonts w:ascii="Arial" w:eastAsia="Calibri" w:hAnsi="Arial" w:cs="Arial"/>
          <w:sz w:val="20"/>
          <w:szCs w:val="20"/>
          <w:lang w:eastAsia="x-none"/>
        </w:rPr>
        <w:t>,00 (</w:t>
      </w:r>
      <w:r>
        <w:rPr>
          <w:rFonts w:ascii="Arial" w:eastAsia="Calibri" w:hAnsi="Arial" w:cs="Arial"/>
          <w:sz w:val="20"/>
          <w:szCs w:val="20"/>
          <w:lang w:eastAsia="x-none"/>
        </w:rPr>
        <w:t>dešimt tūkstančių penki šimtai</w:t>
      </w:r>
      <w:r w:rsidR="008E2884">
        <w:rPr>
          <w:rFonts w:ascii="Arial" w:eastAsia="Calibri" w:hAnsi="Arial" w:cs="Arial"/>
          <w:sz w:val="20"/>
          <w:szCs w:val="20"/>
          <w:lang w:eastAsia="x-none"/>
        </w:rPr>
        <w:t xml:space="preserve">) </w:t>
      </w:r>
      <w:r w:rsidR="001965B1">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6BA30795" w:rsidR="00540279" w:rsidRPr="00BA6597" w:rsidRDefault="00A540DC"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60.5</w:t>
      </w:r>
      <w:r w:rsidR="008E2884">
        <w:rPr>
          <w:rFonts w:ascii="Arial" w:eastAsia="Calibri" w:hAnsi="Arial" w:cs="Arial"/>
          <w:sz w:val="20"/>
          <w:szCs w:val="20"/>
          <w:lang w:eastAsia="x-none"/>
        </w:rPr>
        <w:t>00,00 (</w:t>
      </w:r>
      <w:r>
        <w:rPr>
          <w:rFonts w:ascii="Arial" w:eastAsia="Calibri" w:hAnsi="Arial" w:cs="Arial"/>
          <w:sz w:val="20"/>
          <w:szCs w:val="20"/>
          <w:lang w:eastAsia="x-none"/>
        </w:rPr>
        <w:t>šešiasdešimt tūkstančių penki šimtai</w:t>
      </w:r>
      <w:r w:rsidR="008E2884">
        <w:rPr>
          <w:rFonts w:ascii="Arial" w:eastAsia="Calibri" w:hAnsi="Arial" w:cs="Arial"/>
          <w:sz w:val="20"/>
          <w:szCs w:val="20"/>
          <w:lang w:eastAsia="x-none"/>
        </w:rPr>
        <w:t xml:space="preserve">) </w:t>
      </w:r>
      <w:r w:rsidR="00BA6597" w:rsidRPr="00A401FF">
        <w:rPr>
          <w:rFonts w:ascii="Arial" w:eastAsia="Calibri" w:hAnsi="Arial" w:cs="Arial"/>
          <w:sz w:val="20"/>
          <w:szCs w:val="20"/>
          <w:lang w:eastAsia="x-none"/>
        </w:rPr>
        <w:t>EUR su PVM.</w:t>
      </w:r>
    </w:p>
    <w:permEnd w:id="1680041739"/>
    <w:p w14:paraId="10E11B11" w14:textId="5F317666"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306C95">
        <w:rPr>
          <w:rFonts w:ascii="Arial" w:eastAsia="Calibri" w:hAnsi="Arial" w:cs="Arial"/>
          <w:sz w:val="20"/>
          <w:szCs w:val="20"/>
          <w:lang w:eastAsia="x-none"/>
        </w:rPr>
        <w:t>3</w:t>
      </w:r>
      <w:r w:rsidR="004D41A7" w:rsidRPr="009B54AD">
        <w:rPr>
          <w:rFonts w:ascii="Arial" w:eastAsia="Calibri" w:hAnsi="Arial" w:cs="Arial"/>
          <w:sz w:val="20"/>
          <w:szCs w:val="20"/>
          <w:lang w:eastAsia="x-none"/>
        </w:rPr>
        <w:t xml:space="preserve"> </w:t>
      </w:r>
      <w:r w:rsidR="00306C95">
        <w:rPr>
          <w:rFonts w:ascii="Arial" w:eastAsia="Calibri" w:hAnsi="Arial" w:cs="Arial"/>
          <w:sz w:val="20"/>
          <w:szCs w:val="20"/>
          <w:lang w:eastAsia="x-none"/>
        </w:rPr>
        <w:t>Įkainių lentelė</w:t>
      </w:r>
      <w:r w:rsidR="002F6412">
        <w:rPr>
          <w:rFonts w:ascii="Arial" w:eastAsia="Calibri" w:hAnsi="Arial" w:cs="Arial"/>
          <w:sz w:val="20"/>
          <w:szCs w:val="20"/>
          <w:lang w:eastAsia="x-none"/>
        </w:rPr>
        <w:t>.</w:t>
      </w:r>
      <w:permEnd w:id="322180397"/>
    </w:p>
    <w:p w14:paraId="555A6235" w14:textId="056E74FF"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8E2884" w:rsidRPr="008E2884">
        <w:rPr>
          <w:rFonts w:ascii="Arial" w:hAnsi="Arial" w:cs="Arial"/>
          <w:sz w:val="20"/>
          <w:szCs w:val="20"/>
        </w:rPr>
        <w:t>tinkamai įvykdžius užsakymą, mokama už konkretų kiekį/apimtį pagal nustatytus įkainius</w:t>
      </w:r>
      <w:r w:rsidR="00122B2F" w:rsidRPr="009B54AD">
        <w:rPr>
          <w:rFonts w:ascii="Arial" w:hAnsi="Arial" w:cs="Arial"/>
          <w:sz w:val="20"/>
          <w:szCs w:val="20"/>
        </w:rPr>
        <w:t xml:space="preserve"> pavedimu </w:t>
      </w:r>
      <w:r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674778">
            <w:rPr>
              <w:rFonts w:ascii="Arial" w:eastAsia="Calibri" w:hAnsi="Arial" w:cs="Arial"/>
              <w:spacing w:val="-1"/>
              <w:sz w:val="20"/>
              <w:szCs w:val="20"/>
            </w:rPr>
            <w:t>60 (šešiasdešimt)</w:t>
          </w:r>
        </w:sdtContent>
      </w:sdt>
      <w:r w:rsidR="00AB77D2" w:rsidRPr="009B54AD">
        <w:rPr>
          <w:rFonts w:ascii="Arial" w:eastAsia="Calibri" w:hAnsi="Arial" w:cs="Arial"/>
          <w:spacing w:val="-1"/>
          <w:sz w:val="20"/>
          <w:szCs w:val="20"/>
        </w:rPr>
        <w:t xml:space="preserve"> </w:t>
      </w:r>
      <w:r w:rsidR="008760DA" w:rsidRPr="009B54AD">
        <w:rPr>
          <w:rFonts w:ascii="Arial" w:eastAsia="Calibri" w:hAnsi="Arial" w:cs="Arial"/>
          <w:spacing w:val="-1"/>
          <w:sz w:val="20"/>
          <w:szCs w:val="20"/>
        </w:rPr>
        <w:t>kalendorinių dienų</w:t>
      </w:r>
      <w:r w:rsidR="00D47934" w:rsidRPr="009B54AD">
        <w:rPr>
          <w:rFonts w:ascii="Arial" w:eastAsia="Calibri" w:hAnsi="Arial" w:cs="Arial"/>
          <w:spacing w:val="-1"/>
          <w:sz w:val="20"/>
          <w:szCs w:val="20"/>
        </w:rPr>
        <w:t xml:space="preserve"> </w:t>
      </w:r>
      <w:r w:rsidR="00122B2F" w:rsidRPr="009B54AD">
        <w:rPr>
          <w:rFonts w:ascii="Arial" w:eastAsia="Calibri" w:hAnsi="Arial" w:cs="Arial"/>
          <w:spacing w:val="-1"/>
          <w:sz w:val="20"/>
          <w:szCs w:val="20"/>
        </w:rPr>
        <w:t xml:space="preserve">po </w:t>
      </w:r>
      <w:r w:rsidR="00CA3DBB" w:rsidRPr="009B54AD">
        <w:rPr>
          <w:rFonts w:ascii="Arial" w:eastAsia="Calibri" w:hAnsi="Arial" w:cs="Arial"/>
          <w:spacing w:val="-1"/>
          <w:sz w:val="20"/>
          <w:szCs w:val="20"/>
        </w:rPr>
        <w:t xml:space="preserve">Prekių priėmimo-perdavimo akto pasirašymo ir </w:t>
      </w:r>
      <w:r w:rsidR="00122B2F" w:rsidRPr="009B54AD">
        <w:rPr>
          <w:rFonts w:ascii="Arial" w:eastAsia="Calibri" w:hAnsi="Arial" w:cs="Arial"/>
          <w:spacing w:val="-1"/>
          <w:sz w:val="20"/>
          <w:szCs w:val="20"/>
        </w:rPr>
        <w:t xml:space="preserve">sąskaitos-faktūros gavimo dienos </w:t>
      </w:r>
      <w:r w:rsidR="00D47934" w:rsidRPr="009B54AD">
        <w:rPr>
          <w:rFonts w:ascii="Arial" w:hAnsi="Arial" w:cs="Arial"/>
          <w:sz w:val="20"/>
          <w:szCs w:val="20"/>
        </w:rPr>
        <w:t>į Tiekėjo banko sąskaitą, nurodytą šioje Sutartyje</w:t>
      </w:r>
      <w:r w:rsidR="00CA3DBB" w:rsidRPr="009B54AD">
        <w:rPr>
          <w:rFonts w:ascii="Arial" w:hAnsi="Arial" w:cs="Arial"/>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Tiekėjo išrašoma PVM sąskaita - faktūra privalo atitikti valstybės, išdavusios Tiekėjui jo PVM sąskaitoje faktūroje nurodomą Tiekėjo PVM kodą, įstatymų reikalavimus. Be to, Tiekėjo išrašomoje PVM sąskaitoje-</w:t>
      </w:r>
      <w:r w:rsidRPr="00297679">
        <w:rPr>
          <w:rFonts w:ascii="Arial" w:hAnsi="Arial" w:cs="Arial"/>
          <w:sz w:val="20"/>
          <w:szCs w:val="20"/>
        </w:rPr>
        <w:lastRenderedPageBreak/>
        <w:t xml:space="preserv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02560B10"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9B54AD" w:rsidRPr="009B54AD">
        <w:rPr>
          <w:rFonts w:ascii="Arial" w:eastAsia="Calibri" w:hAnsi="Arial" w:cs="Arial"/>
          <w:sz w:val="20"/>
          <w:szCs w:val="20"/>
        </w:rPr>
        <w:t xml:space="preserve">per </w:t>
      </w:r>
      <w:r w:rsidR="006A1585">
        <w:rPr>
          <w:rFonts w:ascii="Arial" w:eastAsia="Calibri" w:hAnsi="Arial" w:cs="Arial"/>
          <w:sz w:val="20"/>
          <w:szCs w:val="20"/>
        </w:rPr>
        <w:t>10</w:t>
      </w:r>
      <w:r w:rsidR="008E2884">
        <w:rPr>
          <w:rFonts w:ascii="Arial" w:eastAsia="Calibri" w:hAnsi="Arial" w:cs="Arial"/>
          <w:sz w:val="20"/>
          <w:szCs w:val="20"/>
        </w:rPr>
        <w:t xml:space="preserve"> (</w:t>
      </w:r>
      <w:r w:rsidR="006A1585">
        <w:rPr>
          <w:rFonts w:ascii="Arial" w:eastAsia="Calibri" w:hAnsi="Arial" w:cs="Arial"/>
          <w:sz w:val="20"/>
          <w:szCs w:val="20"/>
        </w:rPr>
        <w:t>dešimt) darbo dienų</w:t>
      </w:r>
      <w:r w:rsidR="009B54AD" w:rsidRPr="009B54AD">
        <w:rPr>
          <w:rFonts w:ascii="Arial" w:eastAsia="Calibri" w:hAnsi="Arial" w:cs="Arial"/>
          <w:sz w:val="20"/>
          <w:szCs w:val="20"/>
        </w:rPr>
        <w:t xml:space="preserve"> nuo</w:t>
      </w:r>
      <w:r w:rsidR="009B54AD" w:rsidRPr="009B54AD">
        <w:rPr>
          <w:rStyle w:val="Laukeliai"/>
          <w:rFonts w:cs="Arial"/>
          <w:szCs w:val="20"/>
        </w:rPr>
        <w:t xml:space="preserve"> </w:t>
      </w:r>
      <w:r w:rsidR="008E2884">
        <w:rPr>
          <w:rStyle w:val="Laukeliai"/>
          <w:rFonts w:cs="Arial"/>
          <w:szCs w:val="20"/>
        </w:rPr>
        <w:t>Užsakymo pateikimo</w:t>
      </w:r>
      <w:r w:rsidR="009B54AD" w:rsidRPr="009B54AD">
        <w:rPr>
          <w:rStyle w:val="Laukeliai"/>
          <w:rFonts w:cs="Arial"/>
          <w:szCs w:val="20"/>
        </w:rPr>
        <w:t xml:space="preserve"> dienos.</w:t>
      </w:r>
      <w:r w:rsidR="009B54AD" w:rsidRPr="00297679">
        <w:rPr>
          <w:rStyle w:val="Laukeliai"/>
          <w:rFonts w:cs="Arial"/>
          <w:i/>
          <w:szCs w:val="20"/>
        </w:rPr>
        <w:t xml:space="preserve"> </w:t>
      </w:r>
      <w:r w:rsidR="009B54AD" w:rsidRPr="00297679">
        <w:rPr>
          <w:rFonts w:ascii="Arial" w:hAnsi="Arial" w:cs="Arial"/>
          <w:sz w:val="20"/>
          <w:szCs w:val="20"/>
        </w:rPr>
        <w:t>Šalys susitaria, kad Prekių tiekimo terminas yra esminė Sutarties sąlyga.</w:t>
      </w:r>
      <w:r w:rsidR="009A787B">
        <w:rPr>
          <w:rFonts w:ascii="Arial" w:hAnsi="Arial" w:cs="Arial"/>
          <w:sz w:val="20"/>
          <w:szCs w:val="20"/>
        </w:rPr>
        <w:t xml:space="preserve"> </w:t>
      </w:r>
    </w:p>
    <w:p w14:paraId="7C1731E2" w14:textId="57363F2E"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prekių naudojimo instrukcijas (lietuvių ir originalo kalba) bei techninius pasus.</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07980FF5"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37380591"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6FA8E8DE"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7B3A50FB"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4C8220FA"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741AE1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50D8628A" w:rsidR="003B6E11" w:rsidRPr="00297679" w:rsidRDefault="00F92A1F" w:rsidP="001965B1">
            <w:pPr>
              <w:tabs>
                <w:tab w:val="left" w:pos="567"/>
              </w:tabs>
              <w:spacing w:line="276" w:lineRule="auto"/>
              <w:jc w:val="both"/>
              <w:rPr>
                <w:rFonts w:ascii="Arial" w:hAnsi="Arial" w:cs="Arial"/>
                <w:sz w:val="20"/>
                <w:szCs w:val="20"/>
              </w:rPr>
            </w:pPr>
            <w:permStart w:id="639698347" w:edGrp="everyone" w:colFirst="0" w:colLast="0"/>
            <w:r>
              <w:rPr>
                <w:rFonts w:ascii="Arial" w:hAnsi="Arial" w:cs="Arial"/>
                <w:sz w:val="20"/>
                <w:szCs w:val="20"/>
              </w:rPr>
              <w:t xml:space="preserve">Marija </w:t>
            </w:r>
            <w:proofErr w:type="spellStart"/>
            <w:r>
              <w:rPr>
                <w:rFonts w:ascii="Arial" w:hAnsi="Arial" w:cs="Arial"/>
                <w:sz w:val="20"/>
                <w:szCs w:val="20"/>
              </w:rPr>
              <w:t>Domb</w:t>
            </w:r>
            <w:r w:rsidR="00724A34">
              <w:rPr>
                <w:rFonts w:ascii="Arial" w:hAnsi="Arial" w:cs="Arial"/>
                <w:sz w:val="20"/>
                <w:szCs w:val="20"/>
              </w:rPr>
              <w:t>rovskaja</w:t>
            </w:r>
            <w:proofErr w:type="spellEnd"/>
            <w:r w:rsidR="00724A34">
              <w:rPr>
                <w:rFonts w:ascii="Arial" w:hAnsi="Arial" w:cs="Arial"/>
                <w:sz w:val="20"/>
                <w:szCs w:val="20"/>
              </w:rPr>
              <w:t xml:space="preserve">, el. paštas </w:t>
            </w:r>
            <w:proofErr w:type="spellStart"/>
            <w:r w:rsidR="00724A34" w:rsidRPr="00724A34">
              <w:rPr>
                <w:rFonts w:ascii="Arial" w:hAnsi="Arial" w:cs="Arial"/>
                <w:sz w:val="20"/>
                <w:szCs w:val="20"/>
              </w:rPr>
              <w:t>Marija.Dombrovskaja@gtc.lt</w:t>
            </w:r>
            <w:proofErr w:type="spellEnd"/>
            <w:r w:rsidR="00724A34">
              <w:rPr>
                <w:rFonts w:ascii="Arial" w:hAnsi="Arial" w:cs="Arial"/>
                <w:sz w:val="20"/>
                <w:szCs w:val="20"/>
              </w:rPr>
              <w:t>, tel.: +370 695 22119</w:t>
            </w:r>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7F65DA14"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9B54AD">
        <w:rPr>
          <w:rFonts w:ascii="Arial" w:eastAsia="Calibri" w:hAnsi="Arial" w:cs="Arial"/>
          <w:sz w:val="20"/>
          <w:szCs w:val="20"/>
        </w:rPr>
        <w:t>5</w:t>
      </w:r>
      <w:r w:rsidR="002F6412">
        <w:rPr>
          <w:rFonts w:ascii="Arial" w:eastAsia="Calibri" w:hAnsi="Arial" w:cs="Arial"/>
          <w:sz w:val="20"/>
          <w:szCs w:val="20"/>
        </w:rPr>
        <w:t xml:space="preserve"> (penkias)</w:t>
      </w:r>
      <w:r w:rsidR="009B54AD">
        <w:rPr>
          <w:rFonts w:ascii="Arial" w:eastAsia="Calibri" w:hAnsi="Arial" w:cs="Arial"/>
          <w:sz w:val="20"/>
          <w:szCs w:val="20"/>
        </w:rPr>
        <w:t xml:space="preserve"> darbo dienas</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18E820D5"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6A1585">
        <w:rPr>
          <w:rFonts w:ascii="Arial" w:eastAsia="Calibri" w:hAnsi="Arial" w:cs="Arial"/>
          <w:sz w:val="20"/>
          <w:szCs w:val="20"/>
        </w:rPr>
        <w:t>ne trumpesnis nei 12 mėnesių</w:t>
      </w:r>
      <w:r w:rsidR="00A540DC">
        <w:rPr>
          <w:rFonts w:ascii="Arial" w:eastAsia="Calibri" w:hAnsi="Arial" w:cs="Arial"/>
          <w:sz w:val="20"/>
          <w:szCs w:val="20"/>
        </w:rPr>
        <w:t>.</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w:t>
      </w:r>
      <w:r w:rsidR="00540279" w:rsidRPr="00297679">
        <w:rPr>
          <w:rFonts w:ascii="Arial" w:eastAsia="Calibri" w:hAnsi="Arial" w:cs="Arial"/>
          <w:sz w:val="20"/>
          <w:szCs w:val="20"/>
        </w:rPr>
        <w:lastRenderedPageBreak/>
        <w:t>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3"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3"/>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0B998852"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 xml:space="preserve">Sutarties </w:t>
      </w:r>
      <w:r w:rsidR="00306C95">
        <w:rPr>
          <w:rFonts w:ascii="Arial" w:eastAsia="Calibri" w:hAnsi="Arial" w:cs="Arial"/>
          <w:sz w:val="20"/>
          <w:szCs w:val="20"/>
        </w:rPr>
        <w:t>įvykdymo užtikrinimas 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176DC5B4"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00A540DC">
        <w:rPr>
          <w:rFonts w:ascii="Arial" w:eastAsia="Calibri" w:hAnsi="Arial" w:cs="Arial"/>
          <w:sz w:val="20"/>
          <w:szCs w:val="20"/>
        </w:rPr>
        <w:t>arba kol bus išnaudota maksimali sutarties vertė</w:t>
      </w:r>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9B54AD">
        <w:rPr>
          <w:rFonts w:ascii="Arial" w:eastAsia="Calibri" w:hAnsi="Arial" w:cs="Arial"/>
          <w:sz w:val="20"/>
          <w:szCs w:val="20"/>
        </w:rPr>
        <w:t>3</w:t>
      </w:r>
      <w:r w:rsidR="00610E98">
        <w:rPr>
          <w:rFonts w:ascii="Arial" w:eastAsia="Calibri" w:hAnsi="Arial" w:cs="Arial"/>
          <w:sz w:val="20"/>
          <w:szCs w:val="20"/>
        </w:rPr>
        <w:t>6 (trisdešimt šeši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4" w:name="part_8f4dadbdf27c4882b72f57a56c9631ad"/>
      <w:bookmarkStart w:id="5" w:name="part_9fd9687904354f69bb532178a7959ebe"/>
      <w:bookmarkEnd w:id="4"/>
      <w:bookmarkEnd w:id="5"/>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2118D37" w:rsidR="00FC01F1" w:rsidRPr="00DE04C6" w:rsidRDefault="00FC01F1" w:rsidP="00FC01F1">
      <w:pPr>
        <w:spacing w:after="0" w:line="276" w:lineRule="auto"/>
        <w:jc w:val="both"/>
        <w:rPr>
          <w:rFonts w:ascii="Arial" w:hAnsi="Arial" w:cs="Arial"/>
          <w:b/>
          <w:bCs/>
          <w:iCs/>
          <w:sz w:val="20"/>
          <w:szCs w:val="20"/>
        </w:rPr>
      </w:pPr>
      <w:permStart w:id="1201616520" w:edGrp="everyone"/>
      <w:r w:rsidRPr="00DE04C6">
        <w:rPr>
          <w:rFonts w:ascii="Arial" w:eastAsia="Calibri" w:hAnsi="Arial" w:cs="Arial"/>
          <w:iCs/>
          <w:sz w:val="20"/>
          <w:szCs w:val="20"/>
          <w:lang w:eastAsia="x-none"/>
        </w:rPr>
        <w:t>8.3.</w:t>
      </w:r>
      <w:r w:rsidRPr="00DE04C6">
        <w:rPr>
          <w:rFonts w:ascii="Arial" w:eastAsia="Calibri" w:hAnsi="Arial" w:cs="Arial"/>
          <w:b/>
          <w:bCs/>
          <w:iCs/>
          <w:sz w:val="20"/>
          <w:szCs w:val="20"/>
          <w:lang w:eastAsia="x-none"/>
        </w:rPr>
        <w:t xml:space="preserve"> </w:t>
      </w:r>
      <w:r w:rsidRPr="00DE04C6">
        <w:rPr>
          <w:rFonts w:ascii="Arial" w:hAnsi="Arial" w:cs="Arial"/>
          <w:b/>
          <w:bCs/>
          <w:iCs/>
          <w:sz w:val="20"/>
          <w:szCs w:val="20"/>
        </w:rPr>
        <w:t>Bendrosios nuostatos nekeičiamos.</w:t>
      </w:r>
    </w:p>
    <w:p w14:paraId="4777B0F2" w14:textId="0CA8CE4E" w:rsidR="00FC01F1" w:rsidRPr="00DE04C6" w:rsidRDefault="00DE04C6" w:rsidP="00FC01F1">
      <w:pPr>
        <w:spacing w:after="0" w:line="276" w:lineRule="auto"/>
        <w:jc w:val="both"/>
        <w:rPr>
          <w:rFonts w:ascii="Arial" w:hAnsi="Arial" w:cs="Arial"/>
          <w:b/>
          <w:bCs/>
          <w:iCs/>
          <w:sz w:val="20"/>
          <w:szCs w:val="20"/>
        </w:rPr>
      </w:pPr>
      <w:r w:rsidRPr="00DE04C6">
        <w:rPr>
          <w:rFonts w:ascii="Arial" w:hAnsi="Arial" w:cs="Arial"/>
          <w:iCs/>
          <w:sz w:val="20"/>
          <w:szCs w:val="20"/>
        </w:rPr>
        <w:t>8.4.</w:t>
      </w:r>
      <w:r w:rsidRPr="00DE04C6">
        <w:rPr>
          <w:rFonts w:ascii="Arial" w:hAnsi="Arial" w:cs="Arial"/>
          <w:b/>
          <w:bCs/>
          <w:iCs/>
          <w:sz w:val="20"/>
          <w:szCs w:val="20"/>
        </w:rPr>
        <w:t xml:space="preserve"> </w:t>
      </w:r>
      <w:r w:rsidR="00FC01F1" w:rsidRPr="00DE04C6">
        <w:rPr>
          <w:rFonts w:ascii="Arial" w:hAnsi="Arial" w:cs="Arial"/>
          <w:b/>
          <w:bCs/>
          <w:iCs/>
          <w:sz w:val="20"/>
          <w:szCs w:val="20"/>
        </w:rPr>
        <w:t>Bendrosios nuostatos nekeičiamos.</w:t>
      </w:r>
    </w:p>
    <w:p w14:paraId="656D8F4B" w14:textId="42FF3923" w:rsidR="00B91732" w:rsidRPr="00DE04C6" w:rsidRDefault="00FC01F1" w:rsidP="00D46945">
      <w:pPr>
        <w:spacing w:after="0" w:line="276" w:lineRule="auto"/>
        <w:jc w:val="both"/>
        <w:rPr>
          <w:rFonts w:ascii="Arial" w:eastAsia="Calibri" w:hAnsi="Arial" w:cs="Arial"/>
          <w:b/>
          <w:bCs/>
          <w:iCs/>
          <w:sz w:val="20"/>
          <w:szCs w:val="20"/>
          <w:lang w:eastAsia="x-none"/>
        </w:rPr>
      </w:pPr>
      <w:r w:rsidRPr="00DE04C6">
        <w:rPr>
          <w:rFonts w:ascii="Arial" w:hAnsi="Arial" w:cs="Arial"/>
          <w:iCs/>
          <w:sz w:val="20"/>
          <w:szCs w:val="20"/>
        </w:rPr>
        <w:t>8.5.</w:t>
      </w:r>
      <w:r w:rsidRPr="00DE04C6">
        <w:rPr>
          <w:rFonts w:ascii="Arial" w:hAnsi="Arial" w:cs="Arial"/>
          <w:b/>
          <w:bCs/>
          <w:iCs/>
          <w:sz w:val="20"/>
          <w:szCs w:val="20"/>
        </w:rPr>
        <w:t xml:space="preserve"> Bendrosios nuostatos nekeičiamos. </w:t>
      </w:r>
    </w:p>
    <w:permEnd w:id="1201616520"/>
    <w:p w14:paraId="1D13FA95" w14:textId="534E7804"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045F0633"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27BA9379" w:rsidR="00B91732" w:rsidRPr="00297679" w:rsidRDefault="00B91732" w:rsidP="00D46945">
      <w:pPr>
        <w:widowControl w:val="0"/>
        <w:spacing w:after="0" w:line="276" w:lineRule="auto"/>
        <w:jc w:val="both"/>
        <w:rPr>
          <w:rFonts w:ascii="Arial" w:eastAsia="Calibri" w:hAnsi="Arial" w:cs="Arial"/>
          <w:sz w:val="20"/>
          <w:szCs w:val="20"/>
        </w:rPr>
      </w:pPr>
      <w:bookmarkStart w:id="6" w:name="_Toc438559501"/>
      <w:bookmarkStart w:id="7"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Pr="00297679">
        <w:rPr>
          <w:rFonts w:ascii="Arial" w:eastAsia="Calibri" w:hAnsi="Arial" w:cs="Arial"/>
          <w:sz w:val="20"/>
          <w:szCs w:val="20"/>
        </w:rPr>
        <w:t>;</w:t>
      </w:r>
    </w:p>
    <w:p w14:paraId="10390170" w14:textId="55CD8130" w:rsidR="00B91732"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.2. Priedas Nr. 2 – </w:t>
      </w:r>
      <w:r w:rsidR="00610E98">
        <w:rPr>
          <w:rFonts w:ascii="Arial" w:eastAsia="Calibri" w:hAnsi="Arial" w:cs="Arial"/>
          <w:sz w:val="20"/>
          <w:szCs w:val="20"/>
        </w:rPr>
        <w:t>Techninė specifikacija</w:t>
      </w:r>
      <w:r w:rsidRPr="00297679">
        <w:rPr>
          <w:rFonts w:ascii="Arial" w:eastAsia="Calibri" w:hAnsi="Arial" w:cs="Arial"/>
          <w:sz w:val="20"/>
          <w:szCs w:val="20"/>
        </w:rPr>
        <w:t>.</w:t>
      </w:r>
    </w:p>
    <w:p w14:paraId="5223FC0A" w14:textId="1BD73D0D" w:rsidR="00182B81" w:rsidRPr="00297679" w:rsidRDefault="00053600" w:rsidP="007A196E">
      <w:pPr>
        <w:widowControl w:val="0"/>
        <w:spacing w:after="0" w:line="276" w:lineRule="auto"/>
        <w:jc w:val="both"/>
        <w:rPr>
          <w:rFonts w:ascii="Arial" w:eastAsia="Calibri" w:hAnsi="Arial" w:cs="Arial"/>
          <w:sz w:val="20"/>
          <w:szCs w:val="20"/>
        </w:rPr>
      </w:pPr>
      <w:r>
        <w:rPr>
          <w:rFonts w:ascii="Arial" w:eastAsia="Calibri" w:hAnsi="Arial" w:cs="Arial"/>
          <w:sz w:val="20"/>
          <w:szCs w:val="20"/>
        </w:rPr>
        <w:t xml:space="preserve">8.9.3. Priedas Nr. 3 </w:t>
      </w:r>
      <w:r w:rsidR="00A8254C">
        <w:rPr>
          <w:rFonts w:ascii="Arial" w:eastAsia="Calibri" w:hAnsi="Arial" w:cs="Arial"/>
          <w:sz w:val="20"/>
          <w:szCs w:val="20"/>
        </w:rPr>
        <w:t>–</w:t>
      </w:r>
      <w:r>
        <w:rPr>
          <w:rFonts w:ascii="Arial" w:eastAsia="Calibri" w:hAnsi="Arial" w:cs="Arial"/>
          <w:sz w:val="20"/>
          <w:szCs w:val="20"/>
        </w:rPr>
        <w:t xml:space="preserve"> </w:t>
      </w:r>
      <w:r w:rsidR="00A8254C">
        <w:rPr>
          <w:rFonts w:ascii="Arial" w:eastAsia="Calibri" w:hAnsi="Arial" w:cs="Arial"/>
          <w:sz w:val="20"/>
          <w:szCs w:val="20"/>
        </w:rPr>
        <w:t>Įkainių Lentelė.</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6"/>
      <w:bookmarkEnd w:id="7"/>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1C0F58E7"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lastRenderedPageBreak/>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roofErr w:type="spellStart"/>
            <w:r w:rsidRPr="00297679">
              <w:rPr>
                <w:rFonts w:ascii="Arial" w:hAnsi="Arial" w:cs="Arial"/>
                <w:sz w:val="20"/>
                <w:szCs w:val="20"/>
              </w:rPr>
              <w:t>A.s</w:t>
            </w:r>
            <w:proofErr w:type="spellEnd"/>
            <w:r w:rsidRPr="00297679">
              <w:rPr>
                <w:rFonts w:ascii="Arial" w:hAnsi="Arial" w:cs="Arial"/>
                <w:sz w:val="20"/>
                <w:szCs w:val="20"/>
              </w:rPr>
              <w:t>. LT70 7044 0600 0040 1776</w:t>
            </w:r>
          </w:p>
        </w:tc>
        <w:tc>
          <w:tcPr>
            <w:tcW w:w="4510" w:type="dxa"/>
            <w:shd w:val="clear" w:color="auto" w:fill="auto"/>
          </w:tcPr>
          <w:p w14:paraId="0D4CA25C" w14:textId="283B9792" w:rsidR="00237E32" w:rsidRPr="00297679" w:rsidRDefault="00237E32" w:rsidP="00306C95">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8240"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4D3264E1"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0C1F361E" w:rsidR="00796317" w:rsidRDefault="00556A86" w:rsidP="00D46945">
            <w:pPr>
              <w:pStyle w:val="Heading2"/>
              <w:spacing w:before="0" w:line="276" w:lineRule="auto"/>
              <w:contextualSpacing/>
              <w:outlineLvl w:val="1"/>
              <w:rPr>
                <w:rFonts w:ascii="Arial" w:hAnsi="Arial" w:cs="Arial"/>
                <w:b/>
                <w:iCs/>
                <w:spacing w:val="-2"/>
                <w:sz w:val="20"/>
                <w:szCs w:val="20"/>
                <w:lang w:val="lt-LT"/>
              </w:rPr>
            </w:pPr>
            <w:permStart w:id="910167568" w:edGrp="everyone"/>
            <w:r>
              <w:rPr>
                <w:rFonts w:ascii="Arial" w:hAnsi="Arial" w:cs="Arial"/>
                <w:b/>
                <w:iCs/>
                <w:spacing w:val="-2"/>
                <w:sz w:val="20"/>
                <w:szCs w:val="20"/>
                <w:lang w:val="lt-LT"/>
              </w:rPr>
              <w:t>Generalinis direktorius</w:t>
            </w:r>
          </w:p>
          <w:p w14:paraId="246BDF96" w14:textId="45AFFD9D" w:rsidR="006336DD" w:rsidRPr="00FB0445" w:rsidRDefault="006336DD" w:rsidP="006336DD">
            <w:pPr>
              <w:rPr>
                <w:rFonts w:asciiTheme="minorBidi" w:hAnsiTheme="minorBidi" w:cstheme="minorBidi"/>
                <w:sz w:val="20"/>
                <w:szCs w:val="20"/>
              </w:rPr>
            </w:pPr>
            <w:r w:rsidRPr="00FB0445">
              <w:rPr>
                <w:rFonts w:asciiTheme="minorBidi" w:hAnsiTheme="minorBidi" w:cstheme="minorBidi"/>
                <w:sz w:val="20"/>
                <w:szCs w:val="20"/>
              </w:rPr>
              <w:t>Vytautas Radzevičius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57216"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7A7CE53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0BA13BF1" w:rsidR="00796317" w:rsidRDefault="00556A86"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t>Direktorius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5925C" w14:textId="77777777" w:rsidR="004F014F" w:rsidRDefault="004F014F">
      <w:pPr>
        <w:spacing w:after="0" w:line="240" w:lineRule="auto"/>
      </w:pPr>
      <w:r>
        <w:separator/>
      </w:r>
    </w:p>
  </w:endnote>
  <w:endnote w:type="continuationSeparator" w:id="0">
    <w:p w14:paraId="0A8658B6" w14:textId="77777777" w:rsidR="004F014F" w:rsidRDefault="004F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62D5" w14:textId="77777777" w:rsidR="00306C95" w:rsidRDefault="00306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6A1585">
          <w:rPr>
            <w:noProof/>
          </w:rPr>
          <w:t>2</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302A" w14:textId="77777777" w:rsidR="00306C95" w:rsidRDefault="0030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A3859" w14:textId="77777777" w:rsidR="004F014F" w:rsidRDefault="004F014F">
      <w:pPr>
        <w:spacing w:after="0" w:line="240" w:lineRule="auto"/>
      </w:pPr>
      <w:r>
        <w:separator/>
      </w:r>
    </w:p>
  </w:footnote>
  <w:footnote w:type="continuationSeparator" w:id="0">
    <w:p w14:paraId="2B7CEFCD" w14:textId="77777777" w:rsidR="004F014F" w:rsidRDefault="004F0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B9B7" w14:textId="77777777" w:rsidR="00306C95" w:rsidRDefault="00306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A9B"/>
    <w:rsid w:val="00007263"/>
    <w:rsid w:val="000221DA"/>
    <w:rsid w:val="00024863"/>
    <w:rsid w:val="0002688D"/>
    <w:rsid w:val="00037892"/>
    <w:rsid w:val="00037D4B"/>
    <w:rsid w:val="000513EE"/>
    <w:rsid w:val="00052469"/>
    <w:rsid w:val="00053600"/>
    <w:rsid w:val="00053C02"/>
    <w:rsid w:val="00065260"/>
    <w:rsid w:val="000652AE"/>
    <w:rsid w:val="00075565"/>
    <w:rsid w:val="000819A3"/>
    <w:rsid w:val="00081CF7"/>
    <w:rsid w:val="00093868"/>
    <w:rsid w:val="000938D0"/>
    <w:rsid w:val="00093ED1"/>
    <w:rsid w:val="000A005E"/>
    <w:rsid w:val="000A22B4"/>
    <w:rsid w:val="000B133C"/>
    <w:rsid w:val="000B78CF"/>
    <w:rsid w:val="000C44DE"/>
    <w:rsid w:val="000C5A3B"/>
    <w:rsid w:val="000C7D17"/>
    <w:rsid w:val="000D4C67"/>
    <w:rsid w:val="000F021B"/>
    <w:rsid w:val="000F361E"/>
    <w:rsid w:val="000F59DC"/>
    <w:rsid w:val="000F6D60"/>
    <w:rsid w:val="00113463"/>
    <w:rsid w:val="001134CC"/>
    <w:rsid w:val="00117C76"/>
    <w:rsid w:val="0012012B"/>
    <w:rsid w:val="001217CD"/>
    <w:rsid w:val="00122B2F"/>
    <w:rsid w:val="00140EC1"/>
    <w:rsid w:val="00142060"/>
    <w:rsid w:val="00143EB3"/>
    <w:rsid w:val="00145263"/>
    <w:rsid w:val="00147479"/>
    <w:rsid w:val="00162C29"/>
    <w:rsid w:val="00166F9F"/>
    <w:rsid w:val="0017246D"/>
    <w:rsid w:val="001758A5"/>
    <w:rsid w:val="00181DEA"/>
    <w:rsid w:val="00182B81"/>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E209C"/>
    <w:rsid w:val="00200BD2"/>
    <w:rsid w:val="002049FE"/>
    <w:rsid w:val="00215BD1"/>
    <w:rsid w:val="0022122C"/>
    <w:rsid w:val="002219C9"/>
    <w:rsid w:val="00223F2B"/>
    <w:rsid w:val="00231631"/>
    <w:rsid w:val="00233BB4"/>
    <w:rsid w:val="00237E32"/>
    <w:rsid w:val="00251277"/>
    <w:rsid w:val="00253CD9"/>
    <w:rsid w:val="0025758E"/>
    <w:rsid w:val="0025764D"/>
    <w:rsid w:val="0026044C"/>
    <w:rsid w:val="00265A5F"/>
    <w:rsid w:val="00266019"/>
    <w:rsid w:val="0027001F"/>
    <w:rsid w:val="002738CA"/>
    <w:rsid w:val="00275B68"/>
    <w:rsid w:val="00277979"/>
    <w:rsid w:val="0028155A"/>
    <w:rsid w:val="002842D3"/>
    <w:rsid w:val="002920EB"/>
    <w:rsid w:val="00292207"/>
    <w:rsid w:val="00295902"/>
    <w:rsid w:val="00295C21"/>
    <w:rsid w:val="0029650D"/>
    <w:rsid w:val="00297679"/>
    <w:rsid w:val="002A050E"/>
    <w:rsid w:val="002A3AC0"/>
    <w:rsid w:val="002B06F6"/>
    <w:rsid w:val="002C2D45"/>
    <w:rsid w:val="002D6B5F"/>
    <w:rsid w:val="002F0715"/>
    <w:rsid w:val="002F15DE"/>
    <w:rsid w:val="002F3BD8"/>
    <w:rsid w:val="002F4062"/>
    <w:rsid w:val="002F6412"/>
    <w:rsid w:val="00302AB9"/>
    <w:rsid w:val="00306C95"/>
    <w:rsid w:val="00307D5B"/>
    <w:rsid w:val="00310FA0"/>
    <w:rsid w:val="00336847"/>
    <w:rsid w:val="00336E6B"/>
    <w:rsid w:val="00344088"/>
    <w:rsid w:val="00346DBE"/>
    <w:rsid w:val="00352C42"/>
    <w:rsid w:val="0035342F"/>
    <w:rsid w:val="00357949"/>
    <w:rsid w:val="00366E1F"/>
    <w:rsid w:val="00367545"/>
    <w:rsid w:val="0036790B"/>
    <w:rsid w:val="003707E8"/>
    <w:rsid w:val="00372791"/>
    <w:rsid w:val="0037551F"/>
    <w:rsid w:val="003A08D7"/>
    <w:rsid w:val="003A0CC3"/>
    <w:rsid w:val="003A6684"/>
    <w:rsid w:val="003B1715"/>
    <w:rsid w:val="003B2885"/>
    <w:rsid w:val="003B6837"/>
    <w:rsid w:val="003B6E11"/>
    <w:rsid w:val="003B6F95"/>
    <w:rsid w:val="003B7DF5"/>
    <w:rsid w:val="003C1136"/>
    <w:rsid w:val="003C1534"/>
    <w:rsid w:val="003C658D"/>
    <w:rsid w:val="003D16CE"/>
    <w:rsid w:val="003D4D51"/>
    <w:rsid w:val="003E5C80"/>
    <w:rsid w:val="003F0FD8"/>
    <w:rsid w:val="003F2E60"/>
    <w:rsid w:val="003F6001"/>
    <w:rsid w:val="0041096A"/>
    <w:rsid w:val="0042074C"/>
    <w:rsid w:val="004230A0"/>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14F"/>
    <w:rsid w:val="004F05A3"/>
    <w:rsid w:val="004F0665"/>
    <w:rsid w:val="004F09B7"/>
    <w:rsid w:val="004F2517"/>
    <w:rsid w:val="00500741"/>
    <w:rsid w:val="00500B4E"/>
    <w:rsid w:val="00501989"/>
    <w:rsid w:val="0050205A"/>
    <w:rsid w:val="005066CE"/>
    <w:rsid w:val="005104F6"/>
    <w:rsid w:val="00510C4D"/>
    <w:rsid w:val="00512CF3"/>
    <w:rsid w:val="00520708"/>
    <w:rsid w:val="00521810"/>
    <w:rsid w:val="00532E58"/>
    <w:rsid w:val="005338F1"/>
    <w:rsid w:val="00534D25"/>
    <w:rsid w:val="00540279"/>
    <w:rsid w:val="00543761"/>
    <w:rsid w:val="00546898"/>
    <w:rsid w:val="00551856"/>
    <w:rsid w:val="00552F56"/>
    <w:rsid w:val="00556A86"/>
    <w:rsid w:val="0056225E"/>
    <w:rsid w:val="005640DC"/>
    <w:rsid w:val="005640E1"/>
    <w:rsid w:val="00574C62"/>
    <w:rsid w:val="00576118"/>
    <w:rsid w:val="00581530"/>
    <w:rsid w:val="005815B7"/>
    <w:rsid w:val="00585902"/>
    <w:rsid w:val="00586D48"/>
    <w:rsid w:val="00592494"/>
    <w:rsid w:val="005948FE"/>
    <w:rsid w:val="005950BB"/>
    <w:rsid w:val="00596A03"/>
    <w:rsid w:val="005A0AE6"/>
    <w:rsid w:val="005B1F85"/>
    <w:rsid w:val="005B1FDB"/>
    <w:rsid w:val="005B35B4"/>
    <w:rsid w:val="005B4428"/>
    <w:rsid w:val="005C0239"/>
    <w:rsid w:val="005C1D6F"/>
    <w:rsid w:val="005C4AF1"/>
    <w:rsid w:val="005C6F32"/>
    <w:rsid w:val="005D01BD"/>
    <w:rsid w:val="005D197A"/>
    <w:rsid w:val="005D5DBB"/>
    <w:rsid w:val="005D619D"/>
    <w:rsid w:val="005D6726"/>
    <w:rsid w:val="005E50BE"/>
    <w:rsid w:val="005F6981"/>
    <w:rsid w:val="00610E98"/>
    <w:rsid w:val="00611549"/>
    <w:rsid w:val="0062636D"/>
    <w:rsid w:val="006266DD"/>
    <w:rsid w:val="006336DD"/>
    <w:rsid w:val="006416DB"/>
    <w:rsid w:val="00641BDD"/>
    <w:rsid w:val="0064398F"/>
    <w:rsid w:val="00646210"/>
    <w:rsid w:val="006658EF"/>
    <w:rsid w:val="00674778"/>
    <w:rsid w:val="006836E4"/>
    <w:rsid w:val="00686C39"/>
    <w:rsid w:val="006878A6"/>
    <w:rsid w:val="00690874"/>
    <w:rsid w:val="00690B99"/>
    <w:rsid w:val="00692383"/>
    <w:rsid w:val="006A0EE1"/>
    <w:rsid w:val="006A1585"/>
    <w:rsid w:val="006A1890"/>
    <w:rsid w:val="006A34D8"/>
    <w:rsid w:val="006A71AF"/>
    <w:rsid w:val="006B0626"/>
    <w:rsid w:val="006B1B2A"/>
    <w:rsid w:val="006B381A"/>
    <w:rsid w:val="006B4644"/>
    <w:rsid w:val="006B5A52"/>
    <w:rsid w:val="006C1FD5"/>
    <w:rsid w:val="006D06A2"/>
    <w:rsid w:val="006D0BD9"/>
    <w:rsid w:val="006D3D8F"/>
    <w:rsid w:val="006D47FB"/>
    <w:rsid w:val="006D7CEB"/>
    <w:rsid w:val="006E02DD"/>
    <w:rsid w:val="006E2800"/>
    <w:rsid w:val="006F1913"/>
    <w:rsid w:val="006F245B"/>
    <w:rsid w:val="006F3884"/>
    <w:rsid w:val="006F5924"/>
    <w:rsid w:val="006F623E"/>
    <w:rsid w:val="006F667B"/>
    <w:rsid w:val="007067B1"/>
    <w:rsid w:val="00707AD9"/>
    <w:rsid w:val="007128BC"/>
    <w:rsid w:val="00724776"/>
    <w:rsid w:val="00724A34"/>
    <w:rsid w:val="00731071"/>
    <w:rsid w:val="00733F4F"/>
    <w:rsid w:val="007378AD"/>
    <w:rsid w:val="00744E86"/>
    <w:rsid w:val="00753085"/>
    <w:rsid w:val="00753765"/>
    <w:rsid w:val="00755C09"/>
    <w:rsid w:val="00766BBD"/>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196E"/>
    <w:rsid w:val="007A3ADF"/>
    <w:rsid w:val="007A7E3B"/>
    <w:rsid w:val="007B108F"/>
    <w:rsid w:val="007B1200"/>
    <w:rsid w:val="007B4DFB"/>
    <w:rsid w:val="007C1CBC"/>
    <w:rsid w:val="007C3873"/>
    <w:rsid w:val="007D722B"/>
    <w:rsid w:val="007F02BD"/>
    <w:rsid w:val="007F66F8"/>
    <w:rsid w:val="008156CB"/>
    <w:rsid w:val="008160C0"/>
    <w:rsid w:val="00821A09"/>
    <w:rsid w:val="00826BF0"/>
    <w:rsid w:val="00826F8D"/>
    <w:rsid w:val="00834C4B"/>
    <w:rsid w:val="00835B47"/>
    <w:rsid w:val="008377AF"/>
    <w:rsid w:val="00840555"/>
    <w:rsid w:val="0085114A"/>
    <w:rsid w:val="0085318C"/>
    <w:rsid w:val="00855964"/>
    <w:rsid w:val="00855AF7"/>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2884"/>
    <w:rsid w:val="008E3470"/>
    <w:rsid w:val="008E3C14"/>
    <w:rsid w:val="008E5737"/>
    <w:rsid w:val="008F2189"/>
    <w:rsid w:val="00902AA7"/>
    <w:rsid w:val="00903252"/>
    <w:rsid w:val="00903F3A"/>
    <w:rsid w:val="00906C6F"/>
    <w:rsid w:val="009130DB"/>
    <w:rsid w:val="00913A2C"/>
    <w:rsid w:val="0091684B"/>
    <w:rsid w:val="00916F9F"/>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06BE"/>
    <w:rsid w:val="0098117D"/>
    <w:rsid w:val="00986758"/>
    <w:rsid w:val="0099187B"/>
    <w:rsid w:val="009A4926"/>
    <w:rsid w:val="009A56C1"/>
    <w:rsid w:val="009A787B"/>
    <w:rsid w:val="009B54AD"/>
    <w:rsid w:val="009C1523"/>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40DC"/>
    <w:rsid w:val="00A5574A"/>
    <w:rsid w:val="00A609BB"/>
    <w:rsid w:val="00A648D1"/>
    <w:rsid w:val="00A758F2"/>
    <w:rsid w:val="00A81132"/>
    <w:rsid w:val="00A8254C"/>
    <w:rsid w:val="00A851B9"/>
    <w:rsid w:val="00A8549F"/>
    <w:rsid w:val="00A86D1A"/>
    <w:rsid w:val="00A92472"/>
    <w:rsid w:val="00A971A9"/>
    <w:rsid w:val="00AA2191"/>
    <w:rsid w:val="00AB0305"/>
    <w:rsid w:val="00AB2278"/>
    <w:rsid w:val="00AB5F4D"/>
    <w:rsid w:val="00AB77D2"/>
    <w:rsid w:val="00AC3C9E"/>
    <w:rsid w:val="00AC4F69"/>
    <w:rsid w:val="00AC7C53"/>
    <w:rsid w:val="00AD0292"/>
    <w:rsid w:val="00AD698D"/>
    <w:rsid w:val="00AD69BC"/>
    <w:rsid w:val="00AE13C7"/>
    <w:rsid w:val="00AE79EE"/>
    <w:rsid w:val="00B02654"/>
    <w:rsid w:val="00B02E64"/>
    <w:rsid w:val="00B07831"/>
    <w:rsid w:val="00B10C92"/>
    <w:rsid w:val="00B13965"/>
    <w:rsid w:val="00B20F57"/>
    <w:rsid w:val="00B2185A"/>
    <w:rsid w:val="00B256E3"/>
    <w:rsid w:val="00B27CCE"/>
    <w:rsid w:val="00B31995"/>
    <w:rsid w:val="00B41A47"/>
    <w:rsid w:val="00B43C9A"/>
    <w:rsid w:val="00B44B73"/>
    <w:rsid w:val="00B625D5"/>
    <w:rsid w:val="00B70A81"/>
    <w:rsid w:val="00B71645"/>
    <w:rsid w:val="00B76914"/>
    <w:rsid w:val="00B84C1E"/>
    <w:rsid w:val="00B864C4"/>
    <w:rsid w:val="00B8764E"/>
    <w:rsid w:val="00B91732"/>
    <w:rsid w:val="00B91951"/>
    <w:rsid w:val="00B95246"/>
    <w:rsid w:val="00B96AB4"/>
    <w:rsid w:val="00B9710E"/>
    <w:rsid w:val="00BA0BB0"/>
    <w:rsid w:val="00BA57C2"/>
    <w:rsid w:val="00BA5C0D"/>
    <w:rsid w:val="00BA6597"/>
    <w:rsid w:val="00BA7457"/>
    <w:rsid w:val="00BB0198"/>
    <w:rsid w:val="00BB3D62"/>
    <w:rsid w:val="00BB4BB5"/>
    <w:rsid w:val="00BB58B0"/>
    <w:rsid w:val="00BC04B1"/>
    <w:rsid w:val="00BC1DF4"/>
    <w:rsid w:val="00BC299C"/>
    <w:rsid w:val="00BD04F4"/>
    <w:rsid w:val="00BD08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372E6"/>
    <w:rsid w:val="00C41992"/>
    <w:rsid w:val="00C425A2"/>
    <w:rsid w:val="00C42C74"/>
    <w:rsid w:val="00C461F4"/>
    <w:rsid w:val="00C51A3A"/>
    <w:rsid w:val="00C53C3C"/>
    <w:rsid w:val="00C55B1F"/>
    <w:rsid w:val="00C55F20"/>
    <w:rsid w:val="00C60347"/>
    <w:rsid w:val="00C615B6"/>
    <w:rsid w:val="00C65F96"/>
    <w:rsid w:val="00C76C14"/>
    <w:rsid w:val="00C818E6"/>
    <w:rsid w:val="00C81D6A"/>
    <w:rsid w:val="00C8630F"/>
    <w:rsid w:val="00C90CA2"/>
    <w:rsid w:val="00C95936"/>
    <w:rsid w:val="00C96172"/>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4645"/>
    <w:rsid w:val="00D957DB"/>
    <w:rsid w:val="00D95D21"/>
    <w:rsid w:val="00DA0612"/>
    <w:rsid w:val="00DA352A"/>
    <w:rsid w:val="00DB7F06"/>
    <w:rsid w:val="00DC4C94"/>
    <w:rsid w:val="00DD418E"/>
    <w:rsid w:val="00DE01C9"/>
    <w:rsid w:val="00DE04C6"/>
    <w:rsid w:val="00DE17FA"/>
    <w:rsid w:val="00DE34F2"/>
    <w:rsid w:val="00DE468D"/>
    <w:rsid w:val="00DE798B"/>
    <w:rsid w:val="00DF73B8"/>
    <w:rsid w:val="00E0121B"/>
    <w:rsid w:val="00E045AC"/>
    <w:rsid w:val="00E067D0"/>
    <w:rsid w:val="00E122A4"/>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92A1F"/>
    <w:rsid w:val="00F97A92"/>
    <w:rsid w:val="00FA2D3D"/>
    <w:rsid w:val="00FB0445"/>
    <w:rsid w:val="00FB1061"/>
    <w:rsid w:val="00FB506B"/>
    <w:rsid w:val="00FB5B32"/>
    <w:rsid w:val="00FC01F1"/>
    <w:rsid w:val="00FC10AB"/>
    <w:rsid w:val="00FC1C91"/>
    <w:rsid w:val="00FD7EE4"/>
    <w:rsid w:val="00FE3892"/>
    <w:rsid w:val="00FE7986"/>
    <w:rsid w:val="00FF2042"/>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
    <w:link w:val="ListParagraph"/>
    <w:locked/>
    <w:rsid w:val="00546898"/>
  </w:style>
  <w:style w:type="character" w:styleId="Hyperlink">
    <w:name w:val="Hyperlink"/>
    <w:basedOn w:val="DefaultParagraphFont"/>
    <w:uiPriority w:val="99"/>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2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3284">
      <w:bodyDiv w:val="1"/>
      <w:marLeft w:val="0"/>
      <w:marRight w:val="0"/>
      <w:marTop w:val="0"/>
      <w:marBottom w:val="0"/>
      <w:divBdr>
        <w:top w:val="none" w:sz="0" w:space="0" w:color="auto"/>
        <w:left w:val="none" w:sz="0" w:space="0" w:color="auto"/>
        <w:bottom w:val="none" w:sz="0" w:space="0" w:color="auto"/>
        <w:right w:val="none" w:sz="0" w:space="0" w:color="auto"/>
      </w:divBdr>
    </w:div>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846899784">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050001"/>
    <w:rsid w:val="00103230"/>
    <w:rsid w:val="00163BE5"/>
    <w:rsid w:val="002F0B20"/>
    <w:rsid w:val="003B0976"/>
    <w:rsid w:val="00677B3E"/>
    <w:rsid w:val="009666AD"/>
    <w:rsid w:val="0099587A"/>
    <w:rsid w:val="009A721B"/>
    <w:rsid w:val="009C2007"/>
    <w:rsid w:val="00A514BE"/>
    <w:rsid w:val="00AC02C9"/>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6AF4-6CB0-4721-B679-AE18AD1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7308</Words>
  <Characters>4167</Characters>
  <Application>Microsoft Office Word</Application>
  <DocSecurity>8</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70</cp:revision>
  <dcterms:created xsi:type="dcterms:W3CDTF">2019-05-06T10:44:00Z</dcterms:created>
  <dcterms:modified xsi:type="dcterms:W3CDTF">2020-10-13T05:12:00Z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2020-01-30T14:41:23.9366363Z</vt:lpwstr>
  </property>
  <property fmtid="{D5CDD505-2E9C-101B-9397-08002B2CF9AE}" pid="5" name="MSIP_Label_cfcb905c-755b-4fd4-bd20-0d682d4f1d27_Name">
    <vt:lpwstr>General</vt:lpwstr>
  </property>
  <property fmtid="{D5CDD505-2E9C-101B-9397-08002B2CF9AE}" pid="6" name="MSIP_Label_cfcb905c-755b-4fd4-bd20-0d682d4f1d27_ActionId">
    <vt:lpwstr>79220598-a808-4e21-8490-5fe4f208da8c</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