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65D7A618" w:rsidR="009216A8" w:rsidRPr="001D2DE7" w:rsidRDefault="00EF4A85" w:rsidP="002D4CBF">
      <w:pPr>
        <w:jc w:val="center"/>
        <w:rPr>
          <w:rFonts w:ascii="Arial" w:hAnsi="Arial" w:cs="Arial"/>
          <w:iCs/>
          <w:sz w:val="20"/>
          <w:szCs w:val="20"/>
          <w:u w:val="single"/>
          <w:lang w:eastAsia="ar-SA"/>
        </w:rPr>
      </w:pPr>
      <w:r>
        <w:rPr>
          <w:rFonts w:ascii="Arial" w:hAnsi="Arial" w:cs="Arial"/>
          <w:sz w:val="20"/>
          <w:szCs w:val="20"/>
          <w:u w:val="single"/>
        </w:rPr>
        <w:t>Elektrotechnikos</w:t>
      </w:r>
      <w:r w:rsidR="0037671F">
        <w:rPr>
          <w:rFonts w:ascii="Arial" w:hAnsi="Arial" w:cs="Arial"/>
          <w:sz w:val="20"/>
          <w:szCs w:val="20"/>
          <w:u w:val="single"/>
        </w:rPr>
        <w:t xml:space="preserve"> da</w:t>
      </w:r>
      <w:r>
        <w:rPr>
          <w:rFonts w:ascii="Arial" w:hAnsi="Arial" w:cs="Arial"/>
          <w:sz w:val="20"/>
          <w:szCs w:val="20"/>
          <w:u w:val="single"/>
        </w:rPr>
        <w:t>r</w:t>
      </w:r>
      <w:r w:rsidR="0037671F">
        <w:rPr>
          <w:rFonts w:ascii="Arial" w:hAnsi="Arial" w:cs="Arial"/>
          <w:sz w:val="20"/>
          <w:szCs w:val="20"/>
          <w:u w:val="single"/>
        </w:rPr>
        <w:t>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5F18A979"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D357BA" w:rsidRPr="00D357BA">
        <w:rPr>
          <w:rFonts w:ascii="Arial" w:hAnsi="Arial" w:cs="Arial"/>
          <w:b/>
          <w:bCs/>
          <w:sz w:val="20"/>
          <w:szCs w:val="20"/>
        </w:rPr>
        <w:t>techninio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4335B9AC" w:rsidR="0037671F" w:rsidRPr="00CA5150" w:rsidRDefault="00EF4A85" w:rsidP="00F5384E">
            <w:pPr>
              <w:tabs>
                <w:tab w:val="left" w:pos="709"/>
              </w:tabs>
              <w:rPr>
                <w:rFonts w:ascii="Arial" w:hAnsi="Arial" w:cs="Arial"/>
                <w:sz w:val="20"/>
                <w:szCs w:val="20"/>
              </w:rPr>
            </w:pPr>
            <w:r>
              <w:rPr>
                <w:rFonts w:ascii="Arial" w:hAnsi="Arial" w:cs="Arial"/>
                <w:sz w:val="20"/>
                <w:szCs w:val="20"/>
              </w:rPr>
              <w:t>Elektrotechnikos</w:t>
            </w:r>
            <w:r w:rsidR="0037671F">
              <w:rPr>
                <w:rFonts w:ascii="Arial" w:hAnsi="Arial" w:cs="Arial"/>
                <w:sz w:val="20"/>
                <w:szCs w:val="20"/>
              </w:rPr>
              <w:t xml:space="preserve">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77777777" w:rsidR="004616DB" w:rsidRDefault="004616DB" w:rsidP="004616DB">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1814</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15</cp:revision>
  <cp:lastPrinted>2016-03-17T05:36:00Z</cp:lastPrinted>
  <dcterms:created xsi:type="dcterms:W3CDTF">2019-10-02T08:15:00Z</dcterms:created>
  <dcterms:modified xsi:type="dcterms:W3CDTF">2021-02-22T11:30:00Z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