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659AE262" w:rsidR="009216A8" w:rsidRPr="001D2DE7" w:rsidRDefault="009419F3" w:rsidP="002D4CBF">
      <w:pPr>
        <w:jc w:val="center"/>
        <w:rPr>
          <w:rFonts w:ascii="Arial" w:hAnsi="Arial" w:cs="Arial"/>
          <w:iCs/>
          <w:sz w:val="20"/>
          <w:szCs w:val="20"/>
          <w:u w:val="single"/>
          <w:lang w:eastAsia="ar-SA"/>
        </w:rPr>
      </w:pPr>
      <w:r>
        <w:rPr>
          <w:rFonts w:ascii="Arial" w:hAnsi="Arial" w:cs="Arial"/>
          <w:sz w:val="20"/>
          <w:szCs w:val="20"/>
          <w:u w:val="single"/>
        </w:rPr>
        <w:t>Sklypo architektūros ir sutvarkymo</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0FC5B5BF"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9419F3">
        <w:rPr>
          <w:rFonts w:ascii="Arial" w:hAnsi="Arial" w:cs="Arial"/>
          <w:b/>
          <w:bCs/>
          <w:sz w:val="20"/>
          <w:szCs w:val="20"/>
        </w:rPr>
        <w:t>darbo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3B02C8A0" w:rsidR="0037671F" w:rsidRPr="00CA5150" w:rsidRDefault="009419F3" w:rsidP="00F5384E">
            <w:pPr>
              <w:tabs>
                <w:tab w:val="left" w:pos="709"/>
              </w:tabs>
              <w:rPr>
                <w:rFonts w:ascii="Arial" w:hAnsi="Arial" w:cs="Arial"/>
                <w:sz w:val="20"/>
                <w:szCs w:val="20"/>
              </w:rPr>
            </w:pPr>
            <w:r>
              <w:rPr>
                <w:rFonts w:ascii="Arial" w:hAnsi="Arial" w:cs="Arial"/>
                <w:sz w:val="20"/>
                <w:szCs w:val="20"/>
              </w:rPr>
              <w:t>Sklypo architektūros ir sutvarkymo</w:t>
            </w:r>
            <w:r w:rsidR="0037671F">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9F3"/>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1834</Words>
  <Characters>1046</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17</cp:revision>
  <cp:lastPrinted>2016-03-17T05:36:00Z</cp:lastPrinted>
  <dcterms:created xsi:type="dcterms:W3CDTF">2019-10-02T08:15:00Z</dcterms:created>
  <dcterms:modified xsi:type="dcterms:W3CDTF">2021-03-18T12:26:00Z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